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A28" w:rsidRDefault="00A70A28" w:rsidP="00A70A28">
      <w:pPr>
        <w:spacing w:after="0" w:line="240" w:lineRule="auto"/>
        <w:rPr>
          <w:rFonts w:ascii="Times New Roman" w:eastAsia="Times New Roman" w:hAnsi="Times New Roman" w:cs="Times New Roman"/>
          <w:sz w:val="24"/>
          <w:szCs w:val="24"/>
          <w:lang w:eastAsia="sk-SK"/>
        </w:rPr>
      </w:pPr>
      <w:r w:rsidRPr="00A70A28">
        <w:rPr>
          <w:rFonts w:ascii="Times New Roman" w:eastAsia="Times New Roman" w:hAnsi="Times New Roman" w:cs="Times New Roman"/>
          <w:sz w:val="24"/>
          <w:szCs w:val="24"/>
          <w:lang w:eastAsia="sk-SK"/>
        </w:rPr>
        <w:t xml:space="preserve">05. január 2012 07:56 </w:t>
      </w:r>
    </w:p>
    <w:p w:rsidR="00A70A28" w:rsidRPr="00A70A28" w:rsidRDefault="00A70A28" w:rsidP="00A70A28">
      <w:pPr>
        <w:spacing w:after="0" w:line="240" w:lineRule="auto"/>
        <w:rPr>
          <w:rFonts w:ascii="Times New Roman" w:eastAsia="Times New Roman" w:hAnsi="Times New Roman" w:cs="Times New Roman"/>
          <w:sz w:val="24"/>
          <w:szCs w:val="24"/>
          <w:lang w:eastAsia="sk-SK"/>
        </w:rPr>
      </w:pPr>
      <w:r w:rsidRPr="00A70A28">
        <w:rPr>
          <w:rFonts w:ascii="Times New Roman" w:eastAsia="Times New Roman" w:hAnsi="Times New Roman" w:cs="Times New Roman"/>
          <w:sz w:val="24"/>
          <w:szCs w:val="24"/>
          <w:lang w:eastAsia="sk-SK"/>
        </w:rPr>
        <w:t xml:space="preserve">Autor:  </w:t>
      </w:r>
      <w:hyperlink r:id="rId6" w:history="1">
        <w:r w:rsidRPr="00A70A28">
          <w:rPr>
            <w:rFonts w:ascii="Times New Roman" w:eastAsia="Times New Roman" w:hAnsi="Times New Roman" w:cs="Times New Roman"/>
            <w:color w:val="0000FF"/>
            <w:sz w:val="24"/>
            <w:szCs w:val="24"/>
            <w:u w:val="single"/>
            <w:lang w:eastAsia="sk-SK"/>
          </w:rPr>
          <w:t>Ondrej Zimen</w:t>
        </w:r>
      </w:hyperlink>
    </w:p>
    <w:p w:rsidR="00A70A28" w:rsidRPr="00A70A28" w:rsidRDefault="00A70A28" w:rsidP="00A70A28">
      <w:pPr>
        <w:spacing w:before="100" w:beforeAutospacing="1" w:after="100" w:afterAutospacing="1" w:line="240" w:lineRule="auto"/>
        <w:outlineLvl w:val="0"/>
        <w:rPr>
          <w:rFonts w:ascii="Times New Roman" w:eastAsia="Times New Roman" w:hAnsi="Times New Roman" w:cs="Times New Roman"/>
          <w:b/>
          <w:bCs/>
          <w:kern w:val="36"/>
          <w:sz w:val="40"/>
          <w:szCs w:val="40"/>
          <w:lang w:eastAsia="sk-SK"/>
        </w:rPr>
      </w:pPr>
      <w:r w:rsidRPr="00A70A28">
        <w:rPr>
          <w:rFonts w:ascii="Times New Roman" w:eastAsia="Times New Roman" w:hAnsi="Times New Roman" w:cs="Times New Roman"/>
          <w:b/>
          <w:bCs/>
          <w:kern w:val="36"/>
          <w:sz w:val="40"/>
          <w:szCs w:val="40"/>
          <w:lang w:eastAsia="sk-SK"/>
        </w:rPr>
        <w:t xml:space="preserve">Neoprávnené zásahy kamerového systému do súkromia fyzickej osoby </w:t>
      </w:r>
    </w:p>
    <w:p w:rsidR="00A70A28" w:rsidRPr="00A70A28" w:rsidRDefault="00A70A28" w:rsidP="00A70A28">
      <w:pPr>
        <w:numPr>
          <w:ilvl w:val="0"/>
          <w:numId w:val="1"/>
        </w:numPr>
        <w:spacing w:before="100" w:beforeAutospacing="1" w:after="100" w:afterAutospacing="1" w:line="240" w:lineRule="auto"/>
        <w:rPr>
          <w:rFonts w:ascii="Times New Roman" w:eastAsia="Times New Roman" w:hAnsi="Times New Roman" w:cs="Times New Roman"/>
          <w:sz w:val="24"/>
          <w:szCs w:val="24"/>
          <w:lang w:eastAsia="sk-SK"/>
        </w:rPr>
      </w:pPr>
    </w:p>
    <w:p w:rsidR="00A70A28" w:rsidRPr="00A70A28" w:rsidRDefault="00A70A28" w:rsidP="00A70A28">
      <w:pPr>
        <w:spacing w:before="100" w:beforeAutospacing="1" w:after="100" w:afterAutospacing="1" w:line="240" w:lineRule="auto"/>
        <w:jc w:val="both"/>
        <w:rPr>
          <w:rFonts w:ascii="Times New Roman" w:eastAsia="Times New Roman" w:hAnsi="Times New Roman" w:cs="Times New Roman"/>
          <w:sz w:val="24"/>
          <w:szCs w:val="24"/>
          <w:lang w:eastAsia="sk-SK"/>
        </w:rPr>
      </w:pPr>
      <w:r w:rsidRPr="00A70A28">
        <w:rPr>
          <w:rFonts w:ascii="Times New Roman" w:eastAsia="Times New Roman" w:hAnsi="Times New Roman" w:cs="Times New Roman"/>
          <w:sz w:val="24"/>
          <w:szCs w:val="24"/>
          <w:lang w:eastAsia="sk-SK"/>
        </w:rPr>
        <w:t xml:space="preserve">Zamysleli ste sa už niekedy nad tým, ako je to s monitorovaním vašej osoby prostredníctvom kamerových systémov?! Ako sa na túto problematiku pozerá </w:t>
      </w:r>
      <w:bookmarkStart w:id="0" w:name="_GoBack"/>
      <w:bookmarkEnd w:id="0"/>
      <w:r w:rsidRPr="00A70A28">
        <w:rPr>
          <w:rFonts w:ascii="Times New Roman" w:eastAsia="Times New Roman" w:hAnsi="Times New Roman" w:cs="Times New Roman"/>
          <w:sz w:val="24"/>
          <w:szCs w:val="24"/>
          <w:lang w:eastAsia="sk-SK"/>
        </w:rPr>
        <w:t>slovenský právny poriadok?</w:t>
      </w:r>
    </w:p>
    <w:p w:rsidR="00A70A28" w:rsidRPr="00A70A28" w:rsidRDefault="00A70A28" w:rsidP="00A70A28">
      <w:pPr>
        <w:spacing w:before="100" w:beforeAutospacing="1" w:after="100" w:afterAutospacing="1" w:line="240" w:lineRule="auto"/>
        <w:rPr>
          <w:rFonts w:ascii="Times New Roman" w:eastAsia="Times New Roman" w:hAnsi="Times New Roman" w:cs="Times New Roman"/>
          <w:sz w:val="24"/>
          <w:szCs w:val="24"/>
          <w:lang w:eastAsia="sk-SK"/>
        </w:rPr>
      </w:pPr>
      <w:r w:rsidRPr="00A70A28">
        <w:rPr>
          <w:rFonts w:ascii="Times New Roman" w:eastAsia="Times New Roman" w:hAnsi="Times New Roman" w:cs="Times New Roman"/>
          <w:sz w:val="24"/>
          <w:szCs w:val="24"/>
          <w:lang w:eastAsia="sk-SK"/>
        </w:rPr>
        <w:t>Každého z nás sa viac či menej dotýka využívanie kamerových systémov rôznymi subjektmi a na rôzne účely. Pomocou kamier nás monitorujú, zaznamenávajú a vyhotovujú obrazové resp. audiovizuálne záznamy, ktorých imanentnou súčasťou sú rôzne údaje, ktorých povaha je predurčená oscilovať okolo čl. 19 ods. 2 a ods. 3 Ústavy Slovenskej republiky, kde sú zakotvené základné práva týkajúce sa ochrany súkromia občana.</w:t>
      </w:r>
      <w:hyperlink r:id="rId7" w:anchor="_ftn1" w:history="1">
        <w:r w:rsidRPr="00A70A28">
          <w:rPr>
            <w:rFonts w:ascii="Times New Roman" w:eastAsia="Times New Roman" w:hAnsi="Times New Roman" w:cs="Times New Roman"/>
            <w:color w:val="0000FF"/>
            <w:sz w:val="24"/>
            <w:szCs w:val="24"/>
            <w:u w:val="single"/>
            <w:lang w:eastAsia="sk-SK"/>
          </w:rPr>
          <w:t>[1]</w:t>
        </w:r>
      </w:hyperlink>
    </w:p>
    <w:p w:rsidR="00A70A28" w:rsidRPr="00A70A28" w:rsidRDefault="00A70A28" w:rsidP="00A70A28">
      <w:pPr>
        <w:spacing w:before="100" w:beforeAutospacing="1" w:after="100" w:afterAutospacing="1" w:line="240" w:lineRule="auto"/>
        <w:rPr>
          <w:rFonts w:ascii="Times New Roman" w:eastAsia="Times New Roman" w:hAnsi="Times New Roman" w:cs="Times New Roman"/>
          <w:sz w:val="24"/>
          <w:szCs w:val="24"/>
          <w:lang w:eastAsia="sk-SK"/>
        </w:rPr>
      </w:pPr>
      <w:r w:rsidRPr="00A70A28">
        <w:rPr>
          <w:rFonts w:ascii="Times New Roman" w:eastAsia="Times New Roman" w:hAnsi="Times New Roman" w:cs="Times New Roman"/>
          <w:sz w:val="24"/>
          <w:szCs w:val="24"/>
          <w:lang w:eastAsia="sk-SK"/>
        </w:rPr>
        <w:t>Problematika právnej úpravy použitia kamerového systému je popretkávaná ako vlákna pavučiny cez rôzne právne odvetvia do siete, v ktorej uviazli rôzne proti sebe stojace právom chránené záujmy. V nasledujúcom článku sa preto pokúsim systematizovať a charakterizovať súvisiace časti nášho právneho poriadku v rámci dotknutých právnych odvetví. </w:t>
      </w:r>
    </w:p>
    <w:p w:rsidR="00A70A28" w:rsidRPr="00A70A28" w:rsidRDefault="00A70A28" w:rsidP="00A70A28">
      <w:pPr>
        <w:spacing w:before="100" w:beforeAutospacing="1" w:after="100" w:afterAutospacing="1" w:line="240" w:lineRule="auto"/>
        <w:outlineLvl w:val="0"/>
        <w:rPr>
          <w:rFonts w:ascii="Times New Roman" w:eastAsia="Times New Roman" w:hAnsi="Times New Roman" w:cs="Times New Roman"/>
          <w:b/>
          <w:bCs/>
          <w:kern w:val="36"/>
          <w:sz w:val="48"/>
          <w:szCs w:val="48"/>
          <w:lang w:eastAsia="sk-SK"/>
        </w:rPr>
      </w:pPr>
      <w:r w:rsidRPr="00A70A28">
        <w:rPr>
          <w:rFonts w:ascii="Times New Roman" w:eastAsia="Times New Roman" w:hAnsi="Times New Roman" w:cs="Times New Roman"/>
          <w:b/>
          <w:bCs/>
          <w:kern w:val="36"/>
          <w:sz w:val="48"/>
          <w:szCs w:val="48"/>
          <w:lang w:eastAsia="sk-SK"/>
        </w:rPr>
        <w:t>Správne právo</w:t>
      </w:r>
    </w:p>
    <w:p w:rsidR="00A70A28" w:rsidRPr="00A70A28" w:rsidRDefault="00A70A28" w:rsidP="00A70A28">
      <w:pPr>
        <w:spacing w:after="0" w:line="360" w:lineRule="auto"/>
        <w:ind w:right="57"/>
        <w:jc w:val="both"/>
        <w:rPr>
          <w:rFonts w:ascii="Times New Roman" w:eastAsia="Times New Roman" w:hAnsi="Times New Roman" w:cs="Times New Roman"/>
          <w:sz w:val="24"/>
          <w:szCs w:val="24"/>
          <w:lang w:eastAsia="sk-SK"/>
        </w:rPr>
      </w:pPr>
      <w:r w:rsidRPr="00A70A28">
        <w:rPr>
          <w:rFonts w:ascii="Tahoma" w:eastAsia="Times New Roman" w:hAnsi="Tahoma" w:cs="Tahoma"/>
          <w:color w:val="000000"/>
          <w:sz w:val="18"/>
          <w:szCs w:val="18"/>
          <w:lang w:eastAsia="sk-SK"/>
        </w:rPr>
        <w:t>Kľúčovou právnou normou z hľadiska aplikácie spomenutých ústavných článkov je zákon na ochranu osobných údajov č.428/2002 Z.z. v znení neskorších predpisov (ďalej len „zákon č. 428/2002 Z.z.“). V kontexte využívania kamerového systému zákon č. 428/2002 Z.z. stanovuje striktné pravidlá pre prevádzkovateľa takéhoto informačného systému brániace potenciálnemu zneužitiu vyhotoveného záznamu.</w:t>
      </w:r>
    </w:p>
    <w:p w:rsidR="00A70A28" w:rsidRPr="00A70A28" w:rsidRDefault="00A70A28" w:rsidP="00A70A28">
      <w:pPr>
        <w:spacing w:before="100" w:beforeAutospacing="1" w:after="100" w:afterAutospacing="1" w:line="240" w:lineRule="auto"/>
        <w:rPr>
          <w:rFonts w:ascii="Times New Roman" w:eastAsia="Times New Roman" w:hAnsi="Times New Roman" w:cs="Times New Roman"/>
          <w:sz w:val="24"/>
          <w:szCs w:val="24"/>
          <w:lang w:eastAsia="sk-SK"/>
        </w:rPr>
      </w:pPr>
      <w:r w:rsidRPr="00A70A28">
        <w:rPr>
          <w:rFonts w:ascii="Times New Roman" w:eastAsia="Times New Roman" w:hAnsi="Times New Roman" w:cs="Times New Roman"/>
          <w:sz w:val="24"/>
          <w:szCs w:val="24"/>
          <w:lang w:eastAsia="sk-SK"/>
        </w:rPr>
        <w:t xml:space="preserve">Z dikcie zákona č.428/2002 Z.z. vyplýva, že </w:t>
      </w:r>
      <w:r w:rsidRPr="00A70A28">
        <w:rPr>
          <w:rFonts w:ascii="Times New Roman" w:eastAsia="Times New Roman" w:hAnsi="Times New Roman" w:cs="Times New Roman"/>
          <w:i/>
          <w:iCs/>
          <w:sz w:val="24"/>
          <w:szCs w:val="24"/>
          <w:lang w:eastAsia="sk-SK"/>
        </w:rPr>
        <w:t>priestor prístupný verejnosti, je možné monitorovať pomocou videozáznamu alebo audiozáznamu, ale len na účely zabezpečovania verejného poriadku a bezpečnosti, odhaľovania kriminality alebo narušenia bezpečnosti štátu, a to len vtedy, ak je snímaný priestor zreteľne označený ako monitorovaný.</w:t>
      </w:r>
      <w:hyperlink r:id="rId8" w:anchor="_ftn2" w:history="1">
        <w:r w:rsidRPr="00A70A28">
          <w:rPr>
            <w:rFonts w:ascii="Times New Roman" w:eastAsia="Times New Roman" w:hAnsi="Times New Roman" w:cs="Times New Roman"/>
            <w:color w:val="0000FF"/>
            <w:sz w:val="24"/>
            <w:szCs w:val="24"/>
            <w:u w:val="single"/>
            <w:lang w:eastAsia="sk-SK"/>
          </w:rPr>
          <w:t>[2]</w:t>
        </w:r>
      </w:hyperlink>
      <w:r w:rsidRPr="00A70A28">
        <w:rPr>
          <w:rFonts w:ascii="Times New Roman" w:eastAsia="Times New Roman" w:hAnsi="Times New Roman" w:cs="Times New Roman"/>
          <w:sz w:val="24"/>
          <w:szCs w:val="24"/>
          <w:lang w:eastAsia="sk-SK"/>
        </w:rPr>
        <w:t>  Označenie o monitorovaní priestoru kamerovým systémom nie je potrebné ak tak určuje osobitný zákon. (napr. zákon č.483/2001 Z.z. o bankách a o zmene a doplnení niektorých zákonov).</w:t>
      </w:r>
    </w:p>
    <w:p w:rsidR="00A70A28" w:rsidRPr="00A70A28" w:rsidRDefault="00A70A28" w:rsidP="00A70A28">
      <w:pPr>
        <w:spacing w:before="100" w:beforeAutospacing="1" w:after="100" w:afterAutospacing="1" w:line="240" w:lineRule="auto"/>
        <w:rPr>
          <w:rFonts w:ascii="Times New Roman" w:eastAsia="Times New Roman" w:hAnsi="Times New Roman" w:cs="Times New Roman"/>
          <w:sz w:val="24"/>
          <w:szCs w:val="24"/>
          <w:lang w:eastAsia="sk-SK"/>
        </w:rPr>
      </w:pPr>
      <w:r w:rsidRPr="00A70A28">
        <w:rPr>
          <w:rFonts w:ascii="Times New Roman" w:eastAsia="Times New Roman" w:hAnsi="Times New Roman" w:cs="Times New Roman"/>
          <w:sz w:val="24"/>
          <w:szCs w:val="24"/>
          <w:lang w:eastAsia="sk-SK"/>
        </w:rPr>
        <w:t>Vyhotovený záznam možno využiť len na účely trestného konania alebo konania o priestupkoch, ak osobitný zákon neustanovuje inak. Ak takto vyhotovený záznam nie je využitý na vyššie uvedené účely je nevyhnutné ho zlikvidovať v lehote siedmich dní odo dňa nasledujúceho po dni, v ktorom bol záznam vyhotovený.</w:t>
      </w:r>
    </w:p>
    <w:p w:rsidR="00A70A28" w:rsidRPr="00A70A28" w:rsidRDefault="00A70A28" w:rsidP="00A70A28">
      <w:pPr>
        <w:spacing w:before="100" w:beforeAutospacing="1" w:after="100" w:afterAutospacing="1" w:line="240" w:lineRule="auto"/>
        <w:rPr>
          <w:rFonts w:ascii="Times New Roman" w:eastAsia="Times New Roman" w:hAnsi="Times New Roman" w:cs="Times New Roman"/>
          <w:sz w:val="24"/>
          <w:szCs w:val="24"/>
          <w:lang w:eastAsia="sk-SK"/>
        </w:rPr>
      </w:pPr>
      <w:r w:rsidRPr="00A70A28">
        <w:rPr>
          <w:rFonts w:ascii="Times New Roman" w:eastAsia="Times New Roman" w:hAnsi="Times New Roman" w:cs="Times New Roman"/>
          <w:sz w:val="24"/>
          <w:szCs w:val="24"/>
          <w:lang w:eastAsia="sk-SK"/>
        </w:rPr>
        <w:t>Takže v podstate každé použitie kamerového systému na miestach prístupných verejnosti subjektmi rôznej povahy</w:t>
      </w:r>
      <w:hyperlink r:id="rId9" w:anchor="_ftn3" w:history="1">
        <w:r w:rsidRPr="00A70A28">
          <w:rPr>
            <w:rFonts w:ascii="Times New Roman" w:eastAsia="Times New Roman" w:hAnsi="Times New Roman" w:cs="Times New Roman"/>
            <w:color w:val="0000FF"/>
            <w:sz w:val="24"/>
            <w:szCs w:val="24"/>
            <w:u w:val="single"/>
            <w:lang w:eastAsia="sk-SK"/>
          </w:rPr>
          <w:t>[3]</w:t>
        </w:r>
      </w:hyperlink>
      <w:r w:rsidRPr="00A70A28">
        <w:rPr>
          <w:rFonts w:ascii="Times New Roman" w:eastAsia="Times New Roman" w:hAnsi="Times New Roman" w:cs="Times New Roman"/>
          <w:sz w:val="24"/>
          <w:szCs w:val="24"/>
          <w:lang w:eastAsia="sk-SK"/>
        </w:rPr>
        <w:t xml:space="preserve"> (napr. najčastejšie podnikatelia, obce či správcovia bytových družstiev) spadá pod úpravu zákona č. 428/2002 Z.z. Tieto subjekty, ktoré kamerové systémy z rôznych dôvodov využívajú na monitorovanie verejne prístupných miest majú postavenie prevádzkovateľa informačného systému v zmysle § 4 ods. 2 zákona č. 428/2002 Z.z. Dozor pri ochrane súkromia fyzických osôb nad takýmito prevádzkovateľmi, s výnimkou </w:t>
      </w:r>
      <w:r w:rsidRPr="00A70A28">
        <w:rPr>
          <w:rFonts w:ascii="Times New Roman" w:eastAsia="Times New Roman" w:hAnsi="Times New Roman" w:cs="Times New Roman"/>
          <w:sz w:val="24"/>
          <w:szCs w:val="24"/>
          <w:lang w:eastAsia="sk-SK"/>
        </w:rPr>
        <w:lastRenderedPageBreak/>
        <w:t>spravodajských služieb, vykonáva Úrad na ochranu osobných údajov SR, ktorý vykonáva aj osobitnú registráciu týchto subjektov a môže za rôzne porušenia zákona č. 428/2002 Z.z. udeliť pokutu vo výške od 10 000 Sk (331,93 EUR) do 10 000 000 Sk (33.193,91 EUR).</w:t>
      </w:r>
    </w:p>
    <w:p w:rsidR="00A70A28" w:rsidRPr="00A70A28" w:rsidRDefault="00A70A28" w:rsidP="00A70A28">
      <w:pPr>
        <w:spacing w:before="100" w:beforeAutospacing="1" w:after="100" w:afterAutospacing="1" w:line="360" w:lineRule="auto"/>
        <w:jc w:val="both"/>
        <w:outlineLvl w:val="0"/>
        <w:rPr>
          <w:rFonts w:ascii="Times New Roman" w:eastAsia="Times New Roman" w:hAnsi="Times New Roman" w:cs="Times New Roman"/>
          <w:b/>
          <w:bCs/>
          <w:kern w:val="36"/>
          <w:sz w:val="48"/>
          <w:szCs w:val="48"/>
          <w:lang w:eastAsia="sk-SK"/>
        </w:rPr>
      </w:pPr>
      <w:r w:rsidRPr="00A70A28">
        <w:rPr>
          <w:rFonts w:ascii="Times New Roman" w:eastAsia="Times New Roman" w:hAnsi="Times New Roman" w:cs="Times New Roman"/>
          <w:b/>
          <w:bCs/>
          <w:kern w:val="36"/>
          <w:sz w:val="48"/>
          <w:szCs w:val="48"/>
          <w:lang w:eastAsia="sk-SK"/>
        </w:rPr>
        <w:t>Trestné právo</w:t>
      </w:r>
    </w:p>
    <w:p w:rsidR="00A70A28" w:rsidRPr="00A70A28" w:rsidRDefault="00A70A28" w:rsidP="00A70A28">
      <w:pPr>
        <w:spacing w:before="100" w:beforeAutospacing="1" w:after="100" w:afterAutospacing="1" w:line="240" w:lineRule="auto"/>
        <w:rPr>
          <w:rFonts w:ascii="Times New Roman" w:eastAsia="Times New Roman" w:hAnsi="Times New Roman" w:cs="Times New Roman"/>
          <w:sz w:val="24"/>
          <w:szCs w:val="24"/>
          <w:lang w:eastAsia="sk-SK"/>
        </w:rPr>
      </w:pPr>
      <w:r w:rsidRPr="00A70A28">
        <w:rPr>
          <w:rFonts w:ascii="Times New Roman" w:eastAsia="Times New Roman" w:hAnsi="Times New Roman" w:cs="Times New Roman"/>
          <w:sz w:val="24"/>
          <w:szCs w:val="24"/>
          <w:lang w:eastAsia="sk-SK"/>
        </w:rPr>
        <w:t>V rámci trestného práva má použitie kamerového systému povahu tzv. ITP, t.j. informačno-technického prostriedku (ďalej len „ITP“). ITP môžu používať iba Policajný zbor, Slovenská informačná služba, Vojenské spravodajstvo, Zbor väzenskej a justičnej stráže a Colná správa v rozsahu podľa osobitných predpisov, ktorými sú jednotlivé osobitné zákony (ďalej len „oprávnené štátne orgány“), ktorými je upravená pôsobnosť a činnosť týchto štátnych orgánov a zároveň v intenciách zákona č. 166/2003 Z.z. o ochrane súkromia pred neoprávneným použitím informačno-technických prostriedkov a o zmene a doplnení niektorých zákonov (zákon o ochrane pred odpočúvaním).</w:t>
      </w:r>
    </w:p>
    <w:p w:rsidR="00A70A28" w:rsidRPr="00A70A28" w:rsidRDefault="00A70A28" w:rsidP="00A70A28">
      <w:pPr>
        <w:spacing w:before="100" w:beforeAutospacing="1" w:after="100" w:afterAutospacing="1" w:line="240" w:lineRule="auto"/>
        <w:rPr>
          <w:rFonts w:ascii="Times New Roman" w:eastAsia="Times New Roman" w:hAnsi="Times New Roman" w:cs="Times New Roman"/>
          <w:sz w:val="24"/>
          <w:szCs w:val="24"/>
          <w:lang w:eastAsia="sk-SK"/>
        </w:rPr>
      </w:pPr>
      <w:r w:rsidRPr="00A70A28">
        <w:rPr>
          <w:rFonts w:ascii="Times New Roman" w:eastAsia="Times New Roman" w:hAnsi="Times New Roman" w:cs="Times New Roman"/>
          <w:sz w:val="24"/>
          <w:szCs w:val="24"/>
          <w:lang w:eastAsia="sk-SK"/>
        </w:rPr>
        <w:t xml:space="preserve">Využitie ITP je možné iba vtedy, ak je to </w:t>
      </w:r>
      <w:r w:rsidRPr="00A70A28">
        <w:rPr>
          <w:rFonts w:ascii="Times New Roman" w:eastAsia="Times New Roman" w:hAnsi="Times New Roman" w:cs="Times New Roman"/>
          <w:i/>
          <w:iCs/>
          <w:sz w:val="24"/>
          <w:szCs w:val="24"/>
          <w:lang w:eastAsia="sk-SK"/>
        </w:rPr>
        <w:t>v demokratickej spoločnosti nevyhnutné na zabezpečenie bezpečnosti štátu, obranu štátu, predchádzanie a objasňovanie trestnej činnosti alebo na ochranu práv a slobôd iných. Použitím informačno-technického prostriedku sa môže základné právo alebo sloboda obmedziť len v nevyhnutnom rozsahu a nie dlhšie, ako je to nevyhnutné na dosiahnutie zákonom uznaného cieľa, na ktorý slúži.</w:t>
      </w:r>
      <w:hyperlink r:id="rId10" w:anchor="_ftn4" w:history="1">
        <w:r w:rsidRPr="00A70A28">
          <w:rPr>
            <w:rFonts w:ascii="Times New Roman" w:eastAsia="Times New Roman" w:hAnsi="Times New Roman" w:cs="Times New Roman"/>
            <w:color w:val="0000FF"/>
            <w:sz w:val="24"/>
            <w:szCs w:val="24"/>
            <w:u w:val="single"/>
            <w:lang w:eastAsia="sk-SK"/>
          </w:rPr>
          <w:t>[4]</w:t>
        </w:r>
      </w:hyperlink>
      <w:r w:rsidRPr="00A70A28">
        <w:rPr>
          <w:rFonts w:ascii="Times New Roman" w:eastAsia="Times New Roman" w:hAnsi="Times New Roman" w:cs="Times New Roman"/>
          <w:sz w:val="24"/>
          <w:szCs w:val="24"/>
          <w:lang w:eastAsia="sk-SK"/>
        </w:rPr>
        <w:t xml:space="preserve"> To znamená, že aj údaje získané prostredníctvom ITP možno použiť výhradne v súlade s uvedeným účelom. Strážcom ústavy a zákona je v prípadoch použitia ITP zákonný sudca udeľujúci oprávneným orgánom štátu písomný súhlas na ich použitie a preverujúci účel a dôvody aplikácie ITP počas celej doby, v ktorej ich oprávnené orgány štátu používajú. Bez takéhoto súhlasu resp. dodatočného písomného súhlasu</w:t>
      </w:r>
      <w:hyperlink r:id="rId11" w:anchor="_ftn5" w:history="1">
        <w:r w:rsidRPr="00A70A28">
          <w:rPr>
            <w:rFonts w:ascii="Times New Roman" w:eastAsia="Times New Roman" w:hAnsi="Times New Roman" w:cs="Times New Roman"/>
            <w:color w:val="0000FF"/>
            <w:sz w:val="24"/>
            <w:szCs w:val="24"/>
            <w:u w:val="single"/>
            <w:lang w:eastAsia="sk-SK"/>
          </w:rPr>
          <w:t>[5]</w:t>
        </w:r>
      </w:hyperlink>
      <w:r w:rsidRPr="00A70A28">
        <w:rPr>
          <w:rFonts w:ascii="Times New Roman" w:eastAsia="Times New Roman" w:hAnsi="Times New Roman" w:cs="Times New Roman"/>
          <w:sz w:val="24"/>
          <w:szCs w:val="24"/>
          <w:lang w:eastAsia="sk-SK"/>
        </w:rPr>
        <w:t xml:space="preserve"> nesmú byť informácie získané prostredníctvom ITP použité a musia byť bezodkladne zničené. Tiež nie je možné takéto informácie použiť ako dôkaz v trestnom konaní, keďže trestné právo explicitne vyžaduje, aby sa použitý dôkaz získal zákonným spôsobom.</w:t>
      </w:r>
    </w:p>
    <w:p w:rsidR="00A70A28" w:rsidRPr="00A70A28" w:rsidRDefault="00A70A28" w:rsidP="00A70A28">
      <w:pPr>
        <w:spacing w:before="100" w:beforeAutospacing="1" w:after="100" w:afterAutospacing="1" w:line="240" w:lineRule="auto"/>
        <w:rPr>
          <w:rFonts w:ascii="Times New Roman" w:eastAsia="Times New Roman" w:hAnsi="Times New Roman" w:cs="Times New Roman"/>
          <w:sz w:val="24"/>
          <w:szCs w:val="24"/>
          <w:lang w:eastAsia="sk-SK"/>
        </w:rPr>
      </w:pPr>
      <w:r w:rsidRPr="00A70A28">
        <w:rPr>
          <w:rFonts w:ascii="Times New Roman" w:eastAsia="Times New Roman" w:hAnsi="Times New Roman" w:cs="Times New Roman"/>
          <w:sz w:val="24"/>
          <w:szCs w:val="24"/>
          <w:lang w:eastAsia="sk-SK"/>
        </w:rPr>
        <w:t>Takže typické využitie kamerového systému v podmienkach relevantných pre odvetvie trestného práva, čiže vyhotovovanie záznamov utajovaným spôsobom oprávnenými štátnymi orgánmi na zisťovanie, odhaľovanie a dokumentovanie trestnej činnosti, si pochopiteľne nevyžaduje žiadne zreteľné označenie monitorovaného priestoru ako pri využívaní kamier prevádzkovateľmi podľa § 4 ods. 2 zákona č. 428/2002 Z.z. či súhlas dotknutých osôb.</w:t>
      </w:r>
    </w:p>
    <w:p w:rsidR="00A70A28" w:rsidRPr="00A70A28" w:rsidRDefault="00A70A28" w:rsidP="00A70A28">
      <w:pPr>
        <w:spacing w:before="100" w:beforeAutospacing="1" w:after="100" w:afterAutospacing="1" w:line="240" w:lineRule="auto"/>
        <w:rPr>
          <w:rFonts w:ascii="Times New Roman" w:eastAsia="Times New Roman" w:hAnsi="Times New Roman" w:cs="Times New Roman"/>
          <w:sz w:val="24"/>
          <w:szCs w:val="24"/>
          <w:lang w:eastAsia="sk-SK"/>
        </w:rPr>
      </w:pPr>
      <w:r w:rsidRPr="00A70A28">
        <w:rPr>
          <w:rFonts w:ascii="Times New Roman" w:eastAsia="Times New Roman" w:hAnsi="Times New Roman" w:cs="Times New Roman"/>
          <w:sz w:val="24"/>
          <w:szCs w:val="24"/>
          <w:lang w:eastAsia="sk-SK"/>
        </w:rPr>
        <w:t>Popri zákonnom sudcovi dozerá na dodržiavanie práva na súkromie aj Úrad na ochranu osobných údajov SR, ktorý vo vzťahu k oprávneným štátnym orgánom (s výnimkou SIS, VOS a VSS)</w:t>
      </w:r>
      <w:hyperlink r:id="rId12" w:anchor="_ftn6" w:history="1">
        <w:r w:rsidRPr="00A70A28">
          <w:rPr>
            <w:rFonts w:ascii="Times New Roman" w:eastAsia="Times New Roman" w:hAnsi="Times New Roman" w:cs="Times New Roman"/>
            <w:color w:val="0000FF"/>
            <w:sz w:val="24"/>
            <w:szCs w:val="24"/>
            <w:u w:val="single"/>
            <w:lang w:eastAsia="sk-SK"/>
          </w:rPr>
          <w:t>[6]</w:t>
        </w:r>
      </w:hyperlink>
      <w:r w:rsidRPr="00A70A28">
        <w:rPr>
          <w:rFonts w:ascii="Times New Roman" w:eastAsia="Times New Roman" w:hAnsi="Times New Roman" w:cs="Times New Roman"/>
          <w:sz w:val="24"/>
          <w:szCs w:val="24"/>
          <w:lang w:eastAsia="sk-SK"/>
        </w:rPr>
        <w:t xml:space="preserve"> vykonáva svoju pôsobnosť, avšak z ohľadom na výrazné obmedzenia vyplývajúce z § 2 zákona č. 428/2002 Z.z.</w:t>
      </w:r>
    </w:p>
    <w:p w:rsidR="00A70A28" w:rsidRPr="00A70A28" w:rsidRDefault="00A70A28" w:rsidP="00A70A28">
      <w:pPr>
        <w:spacing w:before="100" w:beforeAutospacing="1" w:after="100" w:afterAutospacing="1" w:line="240" w:lineRule="auto"/>
        <w:rPr>
          <w:rFonts w:ascii="Times New Roman" w:eastAsia="Times New Roman" w:hAnsi="Times New Roman" w:cs="Times New Roman"/>
          <w:sz w:val="24"/>
          <w:szCs w:val="24"/>
          <w:lang w:eastAsia="sk-SK"/>
        </w:rPr>
      </w:pPr>
      <w:r w:rsidRPr="00A70A28">
        <w:rPr>
          <w:rFonts w:ascii="Times New Roman" w:eastAsia="Times New Roman" w:hAnsi="Times New Roman" w:cs="Times New Roman"/>
          <w:sz w:val="24"/>
          <w:szCs w:val="24"/>
          <w:lang w:eastAsia="sk-SK"/>
        </w:rPr>
        <w:t>Z hľadiska vzniku trestnej zodpovednosti v kontexte s neoprávneným zásahom kamerového systému do súkromia fyzickej osoby prichádzajú do úvahy najmä trestné činy podľa § 194a Ochrana súkromia v obydlí, § 374 Neoprávnené nakladanie s osobnými údajmi a tiež § 377 Porušenie dôvernosti ústneho prejavu a iného prejavu osobnej povahy zákona č. 300/2005 Z.z. Trestný zákon v znení neskorších predpisov.</w:t>
      </w:r>
    </w:p>
    <w:p w:rsidR="00A70A28" w:rsidRPr="00A70A28" w:rsidRDefault="00A70A28" w:rsidP="00A70A28">
      <w:pPr>
        <w:spacing w:before="100" w:beforeAutospacing="1" w:after="100" w:afterAutospacing="1" w:line="240" w:lineRule="auto"/>
        <w:outlineLvl w:val="0"/>
        <w:rPr>
          <w:rFonts w:ascii="Times New Roman" w:eastAsia="Times New Roman" w:hAnsi="Times New Roman" w:cs="Times New Roman"/>
          <w:b/>
          <w:bCs/>
          <w:kern w:val="36"/>
          <w:sz w:val="48"/>
          <w:szCs w:val="48"/>
          <w:lang w:eastAsia="sk-SK"/>
        </w:rPr>
      </w:pPr>
      <w:r w:rsidRPr="00A70A28">
        <w:rPr>
          <w:rFonts w:ascii="Times New Roman" w:eastAsia="Times New Roman" w:hAnsi="Times New Roman" w:cs="Times New Roman"/>
          <w:b/>
          <w:bCs/>
          <w:kern w:val="36"/>
          <w:sz w:val="48"/>
          <w:szCs w:val="48"/>
          <w:lang w:eastAsia="sk-SK"/>
        </w:rPr>
        <w:t>Pracovné právo</w:t>
      </w:r>
    </w:p>
    <w:p w:rsidR="00A70A28" w:rsidRPr="00A70A28" w:rsidRDefault="00A70A28" w:rsidP="00A70A28">
      <w:pPr>
        <w:spacing w:before="100" w:beforeAutospacing="1" w:after="100" w:afterAutospacing="1" w:line="240" w:lineRule="auto"/>
        <w:rPr>
          <w:rFonts w:ascii="Times New Roman" w:eastAsia="Times New Roman" w:hAnsi="Times New Roman" w:cs="Times New Roman"/>
          <w:sz w:val="24"/>
          <w:szCs w:val="24"/>
          <w:lang w:eastAsia="sk-SK"/>
        </w:rPr>
      </w:pPr>
      <w:r w:rsidRPr="00A70A28">
        <w:rPr>
          <w:rFonts w:ascii="Times New Roman" w:eastAsia="Times New Roman" w:hAnsi="Times New Roman" w:cs="Times New Roman"/>
          <w:sz w:val="24"/>
          <w:szCs w:val="24"/>
          <w:lang w:eastAsia="sk-SK"/>
        </w:rPr>
        <w:lastRenderedPageBreak/>
        <w:t>Využívanie kamerového systému v rámci pracovnoprávnych vzťahov zamestnávateľom na monitorovanie pracoviska a diania na ňom je často diskutovanou témou, ktorá vždy značne polarizuje diskutujúce strany. Hodnotenie argumentov jednotlivých strán z dôvodu vecnosti preskočím a uspokojím sa s konštatovaním, že je vždy vecou zamestnávateľa či sa pre takýto krok rozhodne.</w:t>
      </w:r>
    </w:p>
    <w:p w:rsidR="00A70A28" w:rsidRPr="00A70A28" w:rsidRDefault="00A70A28" w:rsidP="00A70A28">
      <w:pPr>
        <w:spacing w:before="100" w:beforeAutospacing="1" w:after="100" w:afterAutospacing="1" w:line="240" w:lineRule="auto"/>
        <w:rPr>
          <w:rFonts w:ascii="Times New Roman" w:eastAsia="Times New Roman" w:hAnsi="Times New Roman" w:cs="Times New Roman"/>
          <w:sz w:val="24"/>
          <w:szCs w:val="24"/>
          <w:lang w:eastAsia="sk-SK"/>
        </w:rPr>
      </w:pPr>
      <w:r w:rsidRPr="00A70A28">
        <w:rPr>
          <w:rFonts w:ascii="Times New Roman" w:eastAsia="Times New Roman" w:hAnsi="Times New Roman" w:cs="Times New Roman"/>
          <w:sz w:val="24"/>
          <w:szCs w:val="24"/>
          <w:lang w:eastAsia="sk-SK"/>
        </w:rPr>
        <w:t>Avšak v prípade, že zamestnávateľ na pracovisku nainštaluje kamerový systém je povinný mať na zreteli znenie čl. 11 zákona č. 311/2001 Z.z. Zákonník práce v znení neskorších predpisov (ďalej len „ZP“), ktorý vo vzťahu k zákonu č. 428/2002 Z.z. predstavuje pre tento prípad lex specialis avo vzťahu k pracovnoprávnym vzťahom jednu zo základných zásad.</w:t>
      </w:r>
    </w:p>
    <w:p w:rsidR="00A70A28" w:rsidRPr="00A70A28" w:rsidRDefault="00A70A28" w:rsidP="00A70A28">
      <w:pPr>
        <w:spacing w:before="100" w:beforeAutospacing="1" w:after="100" w:afterAutospacing="1" w:line="240" w:lineRule="auto"/>
        <w:rPr>
          <w:rFonts w:ascii="Times New Roman" w:eastAsia="Times New Roman" w:hAnsi="Times New Roman" w:cs="Times New Roman"/>
          <w:sz w:val="24"/>
          <w:szCs w:val="24"/>
          <w:lang w:eastAsia="sk-SK"/>
        </w:rPr>
      </w:pPr>
      <w:r w:rsidRPr="00A70A28">
        <w:rPr>
          <w:rFonts w:ascii="Times New Roman" w:eastAsia="Times New Roman" w:hAnsi="Times New Roman" w:cs="Times New Roman"/>
          <w:i/>
          <w:iCs/>
          <w:sz w:val="24"/>
          <w:szCs w:val="24"/>
          <w:lang w:eastAsia="sk-SK"/>
        </w:rPr>
        <w:t>Zamestnávateľ môže o zamestnancovi zhromažďovať len osobné údaje súvisiace s kvalifikáciou a profesionálnymi skúsenosťami zamestnanca a údaje, ktoré môžu byť významné z hľadiska práce, ktorú zamestnanec má vykonávať, vykonáva alebo vykonával. Zamestnávateľ nesmie bez vážnych dôvodov spočívajúcich v osobitnej povahe činností zamestnávateľa narúšať súkromie zamestnanca na pracovisku a v spoločných priestoroch zamestnávateľa tým, že ho sleduje bez toho, aby bol na to upozornený, alebo kontroluje listové zásielky adresované zamestnancovi ako súkromnej osobe. Ak je u zamestnávateľa zavedený kontrolný mechanizmus, je zamestnávateľ povinný informovať zamestnanca o rozsahu kontroly a spôsoboch jej uskutočňovania.</w:t>
      </w:r>
      <w:hyperlink r:id="rId13" w:anchor="_ftn7" w:history="1">
        <w:r w:rsidRPr="00A70A28">
          <w:rPr>
            <w:rFonts w:ascii="Times New Roman" w:eastAsia="Times New Roman" w:hAnsi="Times New Roman" w:cs="Times New Roman"/>
            <w:color w:val="0000FF"/>
            <w:sz w:val="24"/>
            <w:szCs w:val="24"/>
            <w:u w:val="single"/>
            <w:lang w:eastAsia="sk-SK"/>
          </w:rPr>
          <w:t>[7]</w:t>
        </w:r>
      </w:hyperlink>
      <w:r w:rsidRPr="00A70A28">
        <w:rPr>
          <w:rFonts w:ascii="Times New Roman" w:eastAsia="Times New Roman" w:hAnsi="Times New Roman" w:cs="Times New Roman"/>
          <w:sz w:val="24"/>
          <w:szCs w:val="24"/>
          <w:lang w:eastAsia="sk-SK"/>
        </w:rPr>
        <w:t> </w:t>
      </w:r>
    </w:p>
    <w:p w:rsidR="00A70A28" w:rsidRPr="00A70A28" w:rsidRDefault="00A70A28" w:rsidP="00A70A28">
      <w:pPr>
        <w:spacing w:before="100" w:beforeAutospacing="1" w:after="100" w:afterAutospacing="1" w:line="240" w:lineRule="auto"/>
        <w:rPr>
          <w:rFonts w:ascii="Times New Roman" w:eastAsia="Times New Roman" w:hAnsi="Times New Roman" w:cs="Times New Roman"/>
          <w:sz w:val="24"/>
          <w:szCs w:val="24"/>
          <w:lang w:eastAsia="sk-SK"/>
        </w:rPr>
      </w:pPr>
      <w:r w:rsidRPr="00A70A28">
        <w:rPr>
          <w:rFonts w:ascii="Times New Roman" w:eastAsia="Times New Roman" w:hAnsi="Times New Roman" w:cs="Times New Roman"/>
          <w:sz w:val="24"/>
          <w:szCs w:val="24"/>
          <w:lang w:eastAsia="sk-SK"/>
        </w:rPr>
        <w:t>Pri aplikácii kamerového systému v súlade s čl. 11 ZP nepotrebuje zamestnávateľ súhlas dotknutých osôb, t.j. zamestnancov a tento informačný systém taktiež v zmysle § 25 ods.2 písm. e) zákona č. 428/2002 Z.z. nepodlieha registrácii.</w:t>
      </w:r>
    </w:p>
    <w:p w:rsidR="00A70A28" w:rsidRPr="00A70A28" w:rsidRDefault="00A70A28" w:rsidP="00A70A28">
      <w:pPr>
        <w:spacing w:before="100" w:beforeAutospacing="1" w:after="100" w:afterAutospacing="1" w:line="240" w:lineRule="auto"/>
        <w:rPr>
          <w:rFonts w:ascii="Times New Roman" w:eastAsia="Times New Roman" w:hAnsi="Times New Roman" w:cs="Times New Roman"/>
          <w:sz w:val="24"/>
          <w:szCs w:val="24"/>
          <w:lang w:eastAsia="sk-SK"/>
        </w:rPr>
      </w:pPr>
      <w:r w:rsidRPr="00A70A28">
        <w:rPr>
          <w:rFonts w:ascii="Times New Roman" w:eastAsia="Times New Roman" w:hAnsi="Times New Roman" w:cs="Times New Roman"/>
          <w:sz w:val="24"/>
          <w:szCs w:val="24"/>
          <w:lang w:eastAsia="sk-SK"/>
        </w:rPr>
        <w:t>V prípade, že sa zamestnávateľ rozhodne monitorovať pracovný proces takýmto spôsobom mal by si určite zapracovať do svojich interných právnych aktov ustanovenie o využívaní kamerového systému, s ktorým by preukázateľne oboznámil svojich zamestnancov a nemal by kamery inštalovať na toaletách, šatniach, sprchách a podobných miestach, kde by mohlo dôjsť k neprimeraným a neodôvodnením zásahom do súkromia zamestnancov. Kontrolný mechanizmus na sledovanie zamestnanca je legitímny za podmienky, že zamestnanca o kontrole zamestnávateľ informuje a súčasne ho informuje aj o rozsahu takejto kontroly a spôsobe jej uskutočňovania.</w:t>
      </w:r>
      <w:hyperlink r:id="rId14" w:anchor="_ftn8" w:history="1">
        <w:r w:rsidRPr="00A70A28">
          <w:rPr>
            <w:rFonts w:ascii="Times New Roman" w:eastAsia="Times New Roman" w:hAnsi="Times New Roman" w:cs="Times New Roman"/>
            <w:color w:val="0000FF"/>
            <w:sz w:val="24"/>
            <w:szCs w:val="24"/>
            <w:u w:val="single"/>
            <w:lang w:eastAsia="sk-SK"/>
          </w:rPr>
          <w:t>[8]</w:t>
        </w:r>
      </w:hyperlink>
    </w:p>
    <w:p w:rsidR="00A70A28" w:rsidRPr="00A70A28" w:rsidRDefault="00A70A28" w:rsidP="00A70A28">
      <w:pPr>
        <w:spacing w:before="100" w:beforeAutospacing="1" w:after="100" w:afterAutospacing="1" w:line="240" w:lineRule="auto"/>
        <w:rPr>
          <w:rFonts w:ascii="Times New Roman" w:eastAsia="Times New Roman" w:hAnsi="Times New Roman" w:cs="Times New Roman"/>
          <w:sz w:val="24"/>
          <w:szCs w:val="24"/>
          <w:lang w:eastAsia="sk-SK"/>
        </w:rPr>
      </w:pPr>
      <w:r w:rsidRPr="00A70A28">
        <w:rPr>
          <w:rFonts w:ascii="Times New Roman" w:eastAsia="Times New Roman" w:hAnsi="Times New Roman" w:cs="Times New Roman"/>
          <w:sz w:val="24"/>
          <w:szCs w:val="24"/>
          <w:lang w:eastAsia="sk-SK"/>
        </w:rPr>
        <w:t>Ako problematický bod z hľadiska ochrany osobných údajov sa môže javiť na prvý pohľad fakt, že obrazový záznam vyhotovený kamerovým systémom má povahu osobitnej kategórie osobného údaju, keďže o identifikovaných resp. identifikovateľných fyzických osobách odhaľuje dodatočnú informáciu v zmysle § 8 ods. 1 zákona č. 428/2002 Z.z.. Evidentne do úvahy prichádza najmä rasový alebo etnický pôvod, ktorý je z obrazového záznamu zrejmý na prvý pohľad. Avšak v prípade vyhotovovania obrazových záznamov zamestnávateľom v súlade s článkom 11 ZP možno konštatovať, že pôjde o výnimku z obmedzenia pri spracúvaní osobitných kategórií osobných údajov v zmysle § 9 ods. 1 písm. a) zákona č. 428/2002 Z.z., a teda takéto spracúvanie osobných údajov nebude zakázané</w:t>
      </w:r>
    </w:p>
    <w:p w:rsidR="00A70A28" w:rsidRPr="00A70A28" w:rsidRDefault="00A70A28" w:rsidP="00A70A28">
      <w:pPr>
        <w:spacing w:before="100" w:beforeAutospacing="1" w:after="100" w:afterAutospacing="1" w:line="240" w:lineRule="auto"/>
        <w:outlineLvl w:val="0"/>
        <w:rPr>
          <w:rFonts w:ascii="Times New Roman" w:eastAsia="Times New Roman" w:hAnsi="Times New Roman" w:cs="Times New Roman"/>
          <w:b/>
          <w:bCs/>
          <w:kern w:val="36"/>
          <w:sz w:val="48"/>
          <w:szCs w:val="48"/>
          <w:lang w:eastAsia="sk-SK"/>
        </w:rPr>
      </w:pPr>
      <w:r w:rsidRPr="00A70A28">
        <w:rPr>
          <w:rFonts w:ascii="Times New Roman" w:eastAsia="Times New Roman" w:hAnsi="Times New Roman" w:cs="Times New Roman"/>
          <w:b/>
          <w:bCs/>
          <w:kern w:val="36"/>
          <w:sz w:val="48"/>
          <w:szCs w:val="48"/>
          <w:lang w:eastAsia="sk-SK"/>
        </w:rPr>
        <w:t>Občianske právo</w:t>
      </w:r>
    </w:p>
    <w:p w:rsidR="00A70A28" w:rsidRPr="00A70A28" w:rsidRDefault="00A70A28" w:rsidP="00A70A28">
      <w:pPr>
        <w:spacing w:before="100" w:beforeAutospacing="1" w:after="100" w:afterAutospacing="1" w:line="240" w:lineRule="auto"/>
        <w:rPr>
          <w:rFonts w:ascii="Times New Roman" w:eastAsia="Times New Roman" w:hAnsi="Times New Roman" w:cs="Times New Roman"/>
          <w:sz w:val="24"/>
          <w:szCs w:val="24"/>
          <w:lang w:eastAsia="sk-SK"/>
        </w:rPr>
      </w:pPr>
      <w:r w:rsidRPr="00A70A28">
        <w:rPr>
          <w:rFonts w:ascii="Times New Roman" w:eastAsia="Times New Roman" w:hAnsi="Times New Roman" w:cs="Times New Roman"/>
          <w:sz w:val="24"/>
          <w:szCs w:val="24"/>
          <w:lang w:eastAsia="sk-SK"/>
        </w:rPr>
        <w:t xml:space="preserve">Použitie kamerového systému má relevanciu v rámci občianskoprávnych vzťahov hlavne z pohľadu zásahu do integrity osobnosti človeka. Predmetom ochrany ľudskej osobnosti je v našom právnom poriadku podľa ustanovenia § 11 zákona č.40/1964 Zb. v znení neskorších </w:t>
      </w:r>
      <w:r w:rsidRPr="00A70A28">
        <w:rPr>
          <w:rFonts w:ascii="Times New Roman" w:eastAsia="Times New Roman" w:hAnsi="Times New Roman" w:cs="Times New Roman"/>
          <w:sz w:val="24"/>
          <w:szCs w:val="24"/>
          <w:lang w:eastAsia="sk-SK"/>
        </w:rPr>
        <w:lastRenderedPageBreak/>
        <w:t>predpisov (ďalej len „OZ“)najmä život a zdravie, občianska česť a ľudská dôstojnosť, súkromie, meno a prejavy osobnej povahy.</w:t>
      </w:r>
    </w:p>
    <w:p w:rsidR="00A70A28" w:rsidRPr="00A70A28" w:rsidRDefault="00A70A28" w:rsidP="00A70A28">
      <w:pPr>
        <w:spacing w:before="100" w:beforeAutospacing="1" w:after="100" w:afterAutospacing="1" w:line="240" w:lineRule="auto"/>
        <w:rPr>
          <w:rFonts w:ascii="Times New Roman" w:eastAsia="Times New Roman" w:hAnsi="Times New Roman" w:cs="Times New Roman"/>
          <w:sz w:val="24"/>
          <w:szCs w:val="24"/>
          <w:lang w:eastAsia="sk-SK"/>
        </w:rPr>
      </w:pPr>
      <w:r w:rsidRPr="00A70A28">
        <w:rPr>
          <w:rFonts w:ascii="Times New Roman" w:eastAsia="Times New Roman" w:hAnsi="Times New Roman" w:cs="Times New Roman"/>
          <w:sz w:val="24"/>
          <w:szCs w:val="24"/>
          <w:lang w:eastAsia="sk-SK"/>
        </w:rPr>
        <w:t>OZ v. § 12 ods. 1 upravuje aj právo na ochranu písomností osobnej povahy, podobizní, obrazových snímkov, ale hlavne právo na ochranu pred vyhotovením alebo použitím obrazových a zvukových záznamov týkajúcich sa fyzickej osoby alebo jej prejavov osobnej povahy bez súhlasu tejto osoby. Práve toto právo je kľúčové z hľadiska použitia kamerového systému v zmysle neoprávneného zásahu do osobnosti človeka, keďže právnu ochranu požívajú práve imateriálne stránky ľudskej osobnosti, ktoré sú zachytené na určitom hmotnom substráte, teda v tomto prípade na pamäťovom disku prípadne na VHS páske.</w:t>
      </w:r>
    </w:p>
    <w:p w:rsidR="00A70A28" w:rsidRPr="00A70A28" w:rsidRDefault="00A70A28" w:rsidP="00A70A28">
      <w:pPr>
        <w:spacing w:before="100" w:beforeAutospacing="1" w:after="100" w:afterAutospacing="1" w:line="240" w:lineRule="auto"/>
        <w:rPr>
          <w:rFonts w:ascii="Times New Roman" w:eastAsia="Times New Roman" w:hAnsi="Times New Roman" w:cs="Times New Roman"/>
          <w:sz w:val="24"/>
          <w:szCs w:val="24"/>
          <w:lang w:eastAsia="sk-SK"/>
        </w:rPr>
      </w:pPr>
      <w:r w:rsidRPr="00A70A28">
        <w:rPr>
          <w:rFonts w:ascii="Times New Roman" w:eastAsia="Times New Roman" w:hAnsi="Times New Roman" w:cs="Times New Roman"/>
          <w:sz w:val="24"/>
          <w:szCs w:val="24"/>
          <w:lang w:eastAsia="sk-SK"/>
        </w:rPr>
        <w:t>Podmienkou poskytnutia občianskoprávnej ochrany osobnosti je neoprávnený zásah do jej osobnostných práv (§ 11 a nasl. OZ). Neoprávnený zásah musí byť spôsobilý privodiť ujmu osobnosti človeka. Porušením práva na ochranu súkromia pritom nie je len neoprávnené získavanie vedomostí a poznatkov o súkromí fyzickej osoby, ale aj neoprávnené rozširovanie týchto poznatkov a vedomostí. Dôsledkom neoprávneného zásahu do práva na súkromie môže byť zníženie dôstojnosti alebo vážnosti v spoločnosti v značnej miere, pritom však tento dôsledok nie je jediným právom požadovaným prejavom závažnosti ujmy spôsobenej fyzickej osobe.</w:t>
      </w:r>
      <w:hyperlink r:id="rId15" w:anchor="_ftn9" w:history="1">
        <w:r w:rsidRPr="00A70A28">
          <w:rPr>
            <w:rFonts w:ascii="Times New Roman" w:eastAsia="Times New Roman" w:hAnsi="Times New Roman" w:cs="Times New Roman"/>
            <w:color w:val="0000FF"/>
            <w:sz w:val="24"/>
            <w:szCs w:val="24"/>
            <w:u w:val="single"/>
            <w:lang w:eastAsia="sk-SK"/>
          </w:rPr>
          <w:t>[9]</w:t>
        </w:r>
      </w:hyperlink>
      <w:r w:rsidRPr="00A70A28">
        <w:rPr>
          <w:rFonts w:ascii="Times New Roman" w:eastAsia="Times New Roman" w:hAnsi="Times New Roman" w:cs="Times New Roman"/>
          <w:sz w:val="24"/>
          <w:szCs w:val="24"/>
          <w:lang w:eastAsia="sk-SK"/>
        </w:rPr>
        <w:t xml:space="preserve"> Za neoprávnený zásah nemožno považovať: a) existenciu tzv. zákonných licencií podľa § 12 ods. 2 až 3 OZ, b) okolnosti vylučujúce protiprávnosť, c) súhlas dotknutej osoby daný nad rámec zákonnej licencie.</w:t>
      </w:r>
    </w:p>
    <w:p w:rsidR="00A70A28" w:rsidRPr="00A70A28" w:rsidRDefault="00A70A28" w:rsidP="00A70A28">
      <w:pPr>
        <w:spacing w:before="100" w:beforeAutospacing="1" w:after="100" w:afterAutospacing="1" w:line="240" w:lineRule="auto"/>
        <w:rPr>
          <w:rFonts w:ascii="Times New Roman" w:eastAsia="Times New Roman" w:hAnsi="Times New Roman" w:cs="Times New Roman"/>
          <w:sz w:val="24"/>
          <w:szCs w:val="24"/>
          <w:lang w:eastAsia="sk-SK"/>
        </w:rPr>
      </w:pPr>
      <w:r w:rsidRPr="00A70A28">
        <w:rPr>
          <w:rFonts w:ascii="Times New Roman" w:eastAsia="Times New Roman" w:hAnsi="Times New Roman" w:cs="Times New Roman"/>
          <w:sz w:val="24"/>
          <w:szCs w:val="24"/>
          <w:lang w:eastAsia="sk-SK"/>
        </w:rPr>
        <w:t>Občanovi, ktorému neoprávnený zásah kamerového systému do osobnostných práv spôsobil ujmu má k dispozícii klasický triumvirát občianskoprávnych žalôb prostredníctvom, ktorých môže uplatniť svoje právo na súdnu ochranu. Poškodený občan môže podať na príslušný všeobecný súd: a) negatórnu žalobu (návrh na upustenie od neoprávneného zásahu), b) reštitučnú žalobu (návrh na odstránenie následkov zásahu), c) satisfakčnú žalobu (návrh na poskytnutie primeraného zadosťučinenia). </w:t>
      </w:r>
    </w:p>
    <w:p w:rsidR="00A70A28" w:rsidRPr="00A70A28" w:rsidRDefault="00A70A28" w:rsidP="00A70A28">
      <w:pPr>
        <w:spacing w:before="100" w:beforeAutospacing="1" w:after="100" w:afterAutospacing="1" w:line="240" w:lineRule="auto"/>
        <w:rPr>
          <w:rFonts w:ascii="Times New Roman" w:eastAsia="Times New Roman" w:hAnsi="Times New Roman" w:cs="Times New Roman"/>
          <w:sz w:val="24"/>
          <w:szCs w:val="24"/>
          <w:lang w:eastAsia="sk-SK"/>
        </w:rPr>
      </w:pPr>
      <w:r w:rsidRPr="00A70A28">
        <w:rPr>
          <w:rFonts w:ascii="Times New Roman" w:eastAsia="Times New Roman" w:hAnsi="Times New Roman" w:cs="Times New Roman"/>
          <w:sz w:val="24"/>
          <w:szCs w:val="24"/>
          <w:lang w:eastAsia="sk-SK"/>
        </w:rPr>
        <w:t>Ochrana osobnosti je v občianskom práve konštituovaná na princípe objektívnej zodpovednosti, takže na vznik zodpovednosti nie je potrebné zavinenie subjektu neoprávneného zásahu. Dokonca podľa judikatúry Ústavného súdu Slovenskej republiky (sp. zn. I. US 155/07 zo dňa 3.12.2008) je možné aby bola v prípade medializácie informácie za určitých kumulatívne naplnených okolností spoluzodpovedná aj iná osoba, ktorá ju médiám poskytla.</w:t>
      </w:r>
    </w:p>
    <w:p w:rsidR="00A70A28" w:rsidRPr="00A70A28" w:rsidRDefault="00A70A28" w:rsidP="00A70A28">
      <w:pPr>
        <w:spacing w:before="100" w:beforeAutospacing="1" w:after="100" w:afterAutospacing="1" w:line="240" w:lineRule="auto"/>
        <w:outlineLvl w:val="0"/>
        <w:rPr>
          <w:rFonts w:ascii="Times New Roman" w:eastAsia="Times New Roman" w:hAnsi="Times New Roman" w:cs="Times New Roman"/>
          <w:b/>
          <w:bCs/>
          <w:kern w:val="36"/>
          <w:sz w:val="48"/>
          <w:szCs w:val="48"/>
          <w:lang w:eastAsia="sk-SK"/>
        </w:rPr>
      </w:pPr>
      <w:r w:rsidRPr="00A70A28">
        <w:rPr>
          <w:rFonts w:ascii="Times New Roman" w:eastAsia="Times New Roman" w:hAnsi="Times New Roman" w:cs="Times New Roman"/>
          <w:b/>
          <w:bCs/>
          <w:kern w:val="36"/>
          <w:sz w:val="48"/>
          <w:szCs w:val="48"/>
          <w:lang w:eastAsia="sk-SK"/>
        </w:rPr>
        <w:t>Záver</w:t>
      </w:r>
    </w:p>
    <w:p w:rsidR="00A70A28" w:rsidRPr="00A70A28" w:rsidRDefault="00A70A28" w:rsidP="00A70A28">
      <w:pPr>
        <w:spacing w:before="100" w:beforeAutospacing="1" w:after="100" w:afterAutospacing="1" w:line="240" w:lineRule="auto"/>
        <w:rPr>
          <w:rFonts w:ascii="Times New Roman" w:eastAsia="Times New Roman" w:hAnsi="Times New Roman" w:cs="Times New Roman"/>
          <w:sz w:val="24"/>
          <w:szCs w:val="24"/>
          <w:lang w:eastAsia="sk-SK"/>
        </w:rPr>
      </w:pPr>
      <w:r w:rsidRPr="00A70A28">
        <w:rPr>
          <w:rFonts w:ascii="Times New Roman" w:eastAsia="Times New Roman" w:hAnsi="Times New Roman" w:cs="Times New Roman"/>
          <w:sz w:val="24"/>
          <w:szCs w:val="24"/>
          <w:lang w:eastAsia="sk-SK"/>
        </w:rPr>
        <w:t>Možno konštatovať, že vytvorená legislatíva upravujúca využívanie kamerového systému sa javí z pohľadu ochrany súkromia fyzickej osoby ako dostatočná. Primerane zohľadňuje váhu proti sebe stojaceho práva na súkromie fyzických osôb ako aj verejný záujem na ochrane spoločnosti pred rôznymi nežiaducimi javmi. Dostatočné možnosti právnej ochrany či existujúce kontrolné mechanizmy však nikdy nebudú automaticky znamenať, že naše práva nebudú porušované neoprávnenými zásahmi. Je len na každom z nás či dovolí „veľkému bratovi“, nad nevyhnutný zákonom umožnený rámec, bez následkov nazerať do svojho súkromia a osobných údajov.</w:t>
      </w:r>
    </w:p>
    <w:p w:rsidR="00A70A28" w:rsidRPr="00A70A28" w:rsidRDefault="00A70A28" w:rsidP="00A70A28">
      <w:pPr>
        <w:spacing w:before="100" w:beforeAutospacing="1" w:after="100" w:afterAutospacing="1" w:line="240" w:lineRule="auto"/>
        <w:rPr>
          <w:rFonts w:ascii="Times New Roman" w:eastAsia="Times New Roman" w:hAnsi="Times New Roman" w:cs="Times New Roman"/>
          <w:sz w:val="24"/>
          <w:szCs w:val="24"/>
          <w:lang w:eastAsia="sk-SK"/>
        </w:rPr>
      </w:pPr>
      <w:r w:rsidRPr="00A70A28">
        <w:rPr>
          <w:rFonts w:ascii="Times New Roman" w:eastAsia="Times New Roman" w:hAnsi="Times New Roman" w:cs="Times New Roman"/>
          <w:sz w:val="24"/>
          <w:szCs w:val="24"/>
          <w:lang w:eastAsia="sk-SK"/>
        </w:rPr>
        <w:t> </w:t>
      </w:r>
    </w:p>
    <w:p w:rsidR="00A70A28" w:rsidRPr="00A70A28" w:rsidRDefault="00A70A28" w:rsidP="00A70A28">
      <w:pPr>
        <w:spacing w:before="100" w:beforeAutospacing="1" w:after="100" w:afterAutospacing="1" w:line="240" w:lineRule="auto"/>
        <w:rPr>
          <w:rFonts w:ascii="Times New Roman" w:eastAsia="Times New Roman" w:hAnsi="Times New Roman" w:cs="Times New Roman"/>
          <w:sz w:val="24"/>
          <w:szCs w:val="24"/>
          <w:lang w:eastAsia="sk-SK"/>
        </w:rPr>
      </w:pPr>
      <w:hyperlink r:id="rId16" w:anchor="_ftnref1" w:history="1">
        <w:r w:rsidRPr="00A70A28">
          <w:rPr>
            <w:rFonts w:ascii="Times New Roman" w:eastAsia="Times New Roman" w:hAnsi="Times New Roman" w:cs="Times New Roman"/>
            <w:color w:val="808080"/>
            <w:sz w:val="16"/>
            <w:szCs w:val="16"/>
            <w:u w:val="single"/>
            <w:lang w:eastAsia="sk-SK"/>
          </w:rPr>
          <w:t>[1]</w:t>
        </w:r>
      </w:hyperlink>
      <w:r w:rsidRPr="00A70A28">
        <w:rPr>
          <w:rFonts w:ascii="Times New Roman" w:eastAsia="Times New Roman" w:hAnsi="Times New Roman" w:cs="Times New Roman"/>
          <w:color w:val="808080"/>
          <w:sz w:val="16"/>
          <w:szCs w:val="16"/>
          <w:lang w:eastAsia="sk-SK"/>
        </w:rPr>
        <w:t xml:space="preserve"> právo na ochranu pred neoprávneným zasahovaním do súkromného a rodinného života, právo na ochranu pred neoprávneným zhromažďovaním, zverejňovaním alebo iným zneužívaním údajov o svojej osobe</w:t>
      </w:r>
      <w:r w:rsidRPr="00A70A28">
        <w:rPr>
          <w:rFonts w:ascii="Times New Roman" w:eastAsia="Times New Roman" w:hAnsi="Times New Roman" w:cs="Times New Roman"/>
          <w:color w:val="808080"/>
          <w:sz w:val="16"/>
          <w:szCs w:val="16"/>
          <w:lang w:eastAsia="sk-SK"/>
        </w:rPr>
        <w:br/>
      </w:r>
      <w:hyperlink r:id="rId17" w:anchor="_ftnref2" w:history="1">
        <w:r w:rsidRPr="00A70A28">
          <w:rPr>
            <w:rFonts w:ascii="Times New Roman" w:eastAsia="Times New Roman" w:hAnsi="Times New Roman" w:cs="Times New Roman"/>
            <w:color w:val="808080"/>
            <w:sz w:val="16"/>
            <w:szCs w:val="16"/>
            <w:u w:val="single"/>
            <w:lang w:eastAsia="sk-SK"/>
          </w:rPr>
          <w:t>[2]</w:t>
        </w:r>
      </w:hyperlink>
      <w:r w:rsidRPr="00A70A28">
        <w:rPr>
          <w:rFonts w:ascii="Times New Roman" w:eastAsia="Times New Roman" w:hAnsi="Times New Roman" w:cs="Times New Roman"/>
          <w:color w:val="808080"/>
          <w:sz w:val="16"/>
          <w:szCs w:val="16"/>
          <w:lang w:eastAsia="sk-SK"/>
        </w:rPr>
        <w:t> § 10 ods. 7 zákona na ochranu osobných údajov č.428/2002 Z.z. v znení neskorších predpisov</w:t>
      </w:r>
      <w:r w:rsidRPr="00A70A28">
        <w:rPr>
          <w:rFonts w:ascii="Times New Roman" w:eastAsia="Times New Roman" w:hAnsi="Times New Roman" w:cs="Times New Roman"/>
          <w:color w:val="808080"/>
          <w:sz w:val="16"/>
          <w:szCs w:val="16"/>
          <w:lang w:eastAsia="sk-SK"/>
        </w:rPr>
        <w:br/>
      </w:r>
      <w:hyperlink r:id="rId18" w:anchor="_ftnref3" w:history="1">
        <w:r w:rsidRPr="00A70A28">
          <w:rPr>
            <w:rFonts w:ascii="Times New Roman" w:eastAsia="Times New Roman" w:hAnsi="Times New Roman" w:cs="Times New Roman"/>
            <w:color w:val="808080"/>
            <w:sz w:val="16"/>
            <w:szCs w:val="16"/>
            <w:u w:val="single"/>
            <w:lang w:eastAsia="sk-SK"/>
          </w:rPr>
          <w:t>[3]</w:t>
        </w:r>
      </w:hyperlink>
      <w:r w:rsidRPr="00A70A28">
        <w:rPr>
          <w:rFonts w:ascii="Times New Roman" w:eastAsia="Times New Roman" w:hAnsi="Times New Roman" w:cs="Times New Roman"/>
          <w:color w:val="808080"/>
          <w:sz w:val="16"/>
          <w:szCs w:val="16"/>
          <w:lang w:eastAsia="sk-SK"/>
        </w:rPr>
        <w:t xml:space="preserve"> Bližšie pozri § 4 ods. 2 zákona č. 428/2002 Z.z. o ochrane osobných údajov v znení neskorších predpisov</w:t>
      </w:r>
      <w:r w:rsidRPr="00A70A28">
        <w:rPr>
          <w:rFonts w:ascii="Times New Roman" w:eastAsia="Times New Roman" w:hAnsi="Times New Roman" w:cs="Times New Roman"/>
          <w:color w:val="808080"/>
          <w:sz w:val="16"/>
          <w:szCs w:val="16"/>
          <w:lang w:eastAsia="sk-SK"/>
        </w:rPr>
        <w:br/>
      </w:r>
      <w:hyperlink r:id="rId19" w:anchor="_ftnref4" w:history="1">
        <w:r w:rsidRPr="00A70A28">
          <w:rPr>
            <w:rFonts w:ascii="Times New Roman" w:eastAsia="Times New Roman" w:hAnsi="Times New Roman" w:cs="Times New Roman"/>
            <w:color w:val="808080"/>
            <w:sz w:val="16"/>
            <w:szCs w:val="16"/>
            <w:u w:val="single"/>
            <w:lang w:eastAsia="sk-SK"/>
          </w:rPr>
          <w:t>[4]</w:t>
        </w:r>
      </w:hyperlink>
      <w:r w:rsidRPr="00A70A28">
        <w:rPr>
          <w:rFonts w:ascii="Times New Roman" w:eastAsia="Times New Roman" w:hAnsi="Times New Roman" w:cs="Times New Roman"/>
          <w:color w:val="808080"/>
          <w:sz w:val="16"/>
          <w:szCs w:val="16"/>
          <w:lang w:eastAsia="sk-SK"/>
        </w:rPr>
        <w:t xml:space="preserve"> § 3 ods. 1 zákona č. 166/2003 Z.z. o ochrane súkromia pred neoprávneným použitím informačno-technických prostriedkov a o zmene a doplnení niektorých zákonov (zákon o ochrane pred odpočúvaním)</w:t>
      </w:r>
      <w:r w:rsidRPr="00A70A28">
        <w:rPr>
          <w:rFonts w:ascii="Times New Roman" w:eastAsia="Times New Roman" w:hAnsi="Times New Roman" w:cs="Times New Roman"/>
          <w:color w:val="808080"/>
          <w:sz w:val="16"/>
          <w:szCs w:val="16"/>
          <w:lang w:eastAsia="sk-SK"/>
        </w:rPr>
        <w:br/>
      </w:r>
      <w:hyperlink r:id="rId20" w:anchor="_ftnref5" w:history="1">
        <w:r w:rsidRPr="00A70A28">
          <w:rPr>
            <w:rFonts w:ascii="Times New Roman" w:eastAsia="Times New Roman" w:hAnsi="Times New Roman" w:cs="Times New Roman"/>
            <w:color w:val="808080"/>
            <w:sz w:val="16"/>
            <w:szCs w:val="16"/>
            <w:u w:val="single"/>
            <w:lang w:eastAsia="sk-SK"/>
          </w:rPr>
          <w:t>[5]</w:t>
        </w:r>
      </w:hyperlink>
      <w:r w:rsidRPr="00A70A28">
        <w:rPr>
          <w:rFonts w:ascii="Times New Roman" w:eastAsia="Times New Roman" w:hAnsi="Times New Roman" w:cs="Times New Roman"/>
          <w:color w:val="808080"/>
          <w:sz w:val="16"/>
          <w:szCs w:val="16"/>
          <w:lang w:eastAsia="sk-SK"/>
        </w:rPr>
        <w:t> § 5 ods. 2 zákona č. 166/2003 Z.z. o ochrane súkromia pred neoprávneným použitím informačno-technických prostriedkov a o zmene a doplnení niektorých zákonov (zákon o ochrane pred odpočúvaním)</w:t>
      </w:r>
      <w:r w:rsidRPr="00A70A28">
        <w:rPr>
          <w:rFonts w:ascii="Times New Roman" w:eastAsia="Times New Roman" w:hAnsi="Times New Roman" w:cs="Times New Roman"/>
          <w:color w:val="808080"/>
          <w:sz w:val="16"/>
          <w:szCs w:val="16"/>
          <w:lang w:eastAsia="sk-SK"/>
        </w:rPr>
        <w:br/>
      </w:r>
      <w:hyperlink r:id="rId21" w:anchor="_ftnref6" w:history="1">
        <w:r w:rsidRPr="00A70A28">
          <w:rPr>
            <w:rFonts w:ascii="Times New Roman" w:eastAsia="Times New Roman" w:hAnsi="Times New Roman" w:cs="Times New Roman"/>
            <w:color w:val="808080"/>
            <w:sz w:val="16"/>
            <w:szCs w:val="16"/>
            <w:u w:val="single"/>
            <w:lang w:eastAsia="sk-SK"/>
          </w:rPr>
          <w:t>[6]</w:t>
        </w:r>
      </w:hyperlink>
      <w:r w:rsidRPr="00A70A28">
        <w:rPr>
          <w:rFonts w:ascii="Times New Roman" w:eastAsia="Times New Roman" w:hAnsi="Times New Roman" w:cs="Times New Roman"/>
          <w:color w:val="808080"/>
          <w:sz w:val="16"/>
          <w:szCs w:val="16"/>
          <w:lang w:eastAsia="sk-SK"/>
        </w:rPr>
        <w:t xml:space="preserve"> SIS – Slovenská informačná služba, VOS – Vojenské obranné spravodajstvo, VSS – Vojenská spravodajská služba</w:t>
      </w:r>
      <w:r w:rsidRPr="00A70A28">
        <w:rPr>
          <w:rFonts w:ascii="Times New Roman" w:eastAsia="Times New Roman" w:hAnsi="Times New Roman" w:cs="Times New Roman"/>
          <w:color w:val="808080"/>
          <w:sz w:val="16"/>
          <w:szCs w:val="16"/>
          <w:lang w:eastAsia="sk-SK"/>
        </w:rPr>
        <w:br/>
      </w:r>
      <w:hyperlink r:id="rId22" w:anchor="_ftnref7" w:history="1">
        <w:r w:rsidRPr="00A70A28">
          <w:rPr>
            <w:rFonts w:ascii="Times New Roman" w:eastAsia="Times New Roman" w:hAnsi="Times New Roman" w:cs="Times New Roman"/>
            <w:color w:val="808080"/>
            <w:sz w:val="16"/>
            <w:szCs w:val="16"/>
            <w:u w:val="single"/>
            <w:lang w:eastAsia="sk-SK"/>
          </w:rPr>
          <w:t>[7]</w:t>
        </w:r>
      </w:hyperlink>
      <w:r w:rsidRPr="00A70A28">
        <w:rPr>
          <w:rFonts w:ascii="Times New Roman" w:eastAsia="Times New Roman" w:hAnsi="Times New Roman" w:cs="Times New Roman"/>
          <w:color w:val="808080"/>
          <w:sz w:val="16"/>
          <w:szCs w:val="16"/>
          <w:lang w:eastAsia="sk-SK"/>
        </w:rPr>
        <w:t xml:space="preserve"> Čl. 11 zákona č. 311/2001 Z.z. v znení neskorších predpisov (Zákonník práce)</w:t>
      </w:r>
      <w:r w:rsidRPr="00A70A28">
        <w:rPr>
          <w:rFonts w:ascii="Times New Roman" w:eastAsia="Times New Roman" w:hAnsi="Times New Roman" w:cs="Times New Roman"/>
          <w:color w:val="808080"/>
          <w:sz w:val="16"/>
          <w:szCs w:val="16"/>
          <w:lang w:eastAsia="sk-SK"/>
        </w:rPr>
        <w:br/>
      </w:r>
      <w:hyperlink r:id="rId23" w:anchor="_ftnref8" w:history="1">
        <w:r w:rsidRPr="00A70A28">
          <w:rPr>
            <w:rFonts w:ascii="Times New Roman" w:eastAsia="Times New Roman" w:hAnsi="Times New Roman" w:cs="Times New Roman"/>
            <w:color w:val="808080"/>
            <w:sz w:val="16"/>
            <w:szCs w:val="16"/>
            <w:u w:val="single"/>
            <w:lang w:eastAsia="sk-SK"/>
          </w:rPr>
          <w:t>[8]</w:t>
        </w:r>
      </w:hyperlink>
      <w:r w:rsidRPr="00A70A28">
        <w:rPr>
          <w:rFonts w:ascii="Times New Roman" w:eastAsia="Times New Roman" w:hAnsi="Times New Roman" w:cs="Times New Roman"/>
          <w:color w:val="808080"/>
          <w:sz w:val="16"/>
          <w:szCs w:val="16"/>
          <w:lang w:eastAsia="sk-SK"/>
        </w:rPr>
        <w:t xml:space="preserve"> Barancová H., Schronk R. Pracovné právo. Sprint. Bratislava 2007. S 141</w:t>
      </w:r>
      <w:r w:rsidRPr="00A70A28">
        <w:rPr>
          <w:rFonts w:ascii="Times New Roman" w:eastAsia="Times New Roman" w:hAnsi="Times New Roman" w:cs="Times New Roman"/>
          <w:color w:val="808080"/>
          <w:sz w:val="16"/>
          <w:szCs w:val="16"/>
          <w:lang w:eastAsia="sk-SK"/>
        </w:rPr>
        <w:br/>
      </w:r>
      <w:hyperlink r:id="rId24" w:anchor="_ftnref9" w:history="1">
        <w:r w:rsidRPr="00A70A28">
          <w:rPr>
            <w:rFonts w:ascii="Times New Roman" w:eastAsia="Times New Roman" w:hAnsi="Times New Roman" w:cs="Times New Roman"/>
            <w:color w:val="808080"/>
            <w:sz w:val="16"/>
            <w:szCs w:val="16"/>
            <w:u w:val="single"/>
            <w:lang w:eastAsia="sk-SK"/>
          </w:rPr>
          <w:t>[9]</w:t>
        </w:r>
      </w:hyperlink>
      <w:r w:rsidRPr="00A70A28">
        <w:rPr>
          <w:rFonts w:ascii="Times New Roman" w:eastAsia="Times New Roman" w:hAnsi="Times New Roman" w:cs="Times New Roman"/>
          <w:color w:val="808080"/>
          <w:sz w:val="16"/>
          <w:szCs w:val="16"/>
          <w:lang w:eastAsia="sk-SK"/>
        </w:rPr>
        <w:t xml:space="preserve"> ULC Čarnogurský. Ochrana osobnosti. PRO BONO 11</w:t>
      </w:r>
    </w:p>
    <w:p w:rsidR="00BB59DD" w:rsidRDefault="00BB59DD"/>
    <w:sectPr w:rsidR="00BB59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D3963"/>
    <w:multiLevelType w:val="multilevel"/>
    <w:tmpl w:val="79FC5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42182A"/>
    <w:multiLevelType w:val="multilevel"/>
    <w:tmpl w:val="86305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A28"/>
    <w:rsid w:val="00A70A28"/>
    <w:rsid w:val="00BB59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A70A2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70A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A70A2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A70A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375562">
      <w:bodyDiv w:val="1"/>
      <w:marLeft w:val="0"/>
      <w:marRight w:val="0"/>
      <w:marTop w:val="0"/>
      <w:marBottom w:val="0"/>
      <w:divBdr>
        <w:top w:val="none" w:sz="0" w:space="0" w:color="auto"/>
        <w:left w:val="none" w:sz="0" w:space="0" w:color="auto"/>
        <w:bottom w:val="none" w:sz="0" w:space="0" w:color="auto"/>
        <w:right w:val="none" w:sz="0" w:space="0" w:color="auto"/>
      </w:divBdr>
      <w:divsChild>
        <w:div w:id="867067232">
          <w:marLeft w:val="0"/>
          <w:marRight w:val="0"/>
          <w:marTop w:val="0"/>
          <w:marBottom w:val="0"/>
          <w:divBdr>
            <w:top w:val="none" w:sz="0" w:space="0" w:color="auto"/>
            <w:left w:val="none" w:sz="0" w:space="0" w:color="auto"/>
            <w:bottom w:val="none" w:sz="0" w:space="0" w:color="auto"/>
            <w:right w:val="none" w:sz="0" w:space="0" w:color="auto"/>
          </w:divBdr>
          <w:divsChild>
            <w:div w:id="1514954743">
              <w:marLeft w:val="0"/>
              <w:marRight w:val="0"/>
              <w:marTop w:val="0"/>
              <w:marBottom w:val="0"/>
              <w:divBdr>
                <w:top w:val="none" w:sz="0" w:space="0" w:color="auto"/>
                <w:left w:val="none" w:sz="0" w:space="0" w:color="auto"/>
                <w:bottom w:val="none" w:sz="0" w:space="0" w:color="auto"/>
                <w:right w:val="none" w:sz="0" w:space="0" w:color="auto"/>
              </w:divBdr>
            </w:div>
          </w:divsChild>
        </w:div>
        <w:div w:id="2055956124">
          <w:marLeft w:val="0"/>
          <w:marRight w:val="0"/>
          <w:marTop w:val="0"/>
          <w:marBottom w:val="0"/>
          <w:divBdr>
            <w:top w:val="none" w:sz="0" w:space="0" w:color="auto"/>
            <w:left w:val="none" w:sz="0" w:space="0" w:color="auto"/>
            <w:bottom w:val="none" w:sz="0" w:space="0" w:color="auto"/>
            <w:right w:val="none" w:sz="0" w:space="0" w:color="auto"/>
          </w:divBdr>
        </w:div>
        <w:div w:id="1243294001">
          <w:marLeft w:val="0"/>
          <w:marRight w:val="0"/>
          <w:marTop w:val="0"/>
          <w:marBottom w:val="0"/>
          <w:divBdr>
            <w:top w:val="none" w:sz="0" w:space="0" w:color="auto"/>
            <w:left w:val="none" w:sz="0" w:space="0" w:color="auto"/>
            <w:bottom w:val="none" w:sz="0" w:space="0" w:color="auto"/>
            <w:right w:val="none" w:sz="0" w:space="0" w:color="auto"/>
          </w:divBdr>
          <w:divsChild>
            <w:div w:id="644160809">
              <w:marLeft w:val="0"/>
              <w:marRight w:val="0"/>
              <w:marTop w:val="0"/>
              <w:marBottom w:val="0"/>
              <w:divBdr>
                <w:top w:val="none" w:sz="0" w:space="0" w:color="auto"/>
                <w:left w:val="none" w:sz="0" w:space="0" w:color="auto"/>
                <w:bottom w:val="none" w:sz="0" w:space="0" w:color="auto"/>
                <w:right w:val="none" w:sz="0" w:space="0" w:color="auto"/>
              </w:divBdr>
              <w:divsChild>
                <w:div w:id="270205853">
                  <w:marLeft w:val="0"/>
                  <w:marRight w:val="0"/>
                  <w:marTop w:val="0"/>
                  <w:marBottom w:val="0"/>
                  <w:divBdr>
                    <w:top w:val="none" w:sz="0" w:space="0" w:color="auto"/>
                    <w:left w:val="none" w:sz="0" w:space="0" w:color="auto"/>
                    <w:bottom w:val="none" w:sz="0" w:space="0" w:color="auto"/>
                    <w:right w:val="none" w:sz="0" w:space="0" w:color="auto"/>
                  </w:divBdr>
                </w:div>
              </w:divsChild>
            </w:div>
            <w:div w:id="1477187259">
              <w:marLeft w:val="0"/>
              <w:marRight w:val="0"/>
              <w:marTop w:val="0"/>
              <w:marBottom w:val="0"/>
              <w:divBdr>
                <w:top w:val="none" w:sz="0" w:space="0" w:color="auto"/>
                <w:left w:val="none" w:sz="0" w:space="0" w:color="auto"/>
                <w:bottom w:val="none" w:sz="0" w:space="0" w:color="auto"/>
                <w:right w:val="none" w:sz="0" w:space="0" w:color="auto"/>
              </w:divBdr>
            </w:div>
            <w:div w:id="1916207740">
              <w:marLeft w:val="0"/>
              <w:marRight w:val="0"/>
              <w:marTop w:val="0"/>
              <w:marBottom w:val="0"/>
              <w:divBdr>
                <w:top w:val="none" w:sz="0" w:space="0" w:color="auto"/>
                <w:left w:val="none" w:sz="0" w:space="0" w:color="auto"/>
                <w:bottom w:val="none" w:sz="0" w:space="0" w:color="auto"/>
                <w:right w:val="none" w:sz="0" w:space="0" w:color="auto"/>
              </w:divBdr>
              <w:divsChild>
                <w:div w:id="13500506">
                  <w:marLeft w:val="0"/>
                  <w:marRight w:val="0"/>
                  <w:marTop w:val="0"/>
                  <w:marBottom w:val="0"/>
                  <w:divBdr>
                    <w:top w:val="none" w:sz="0" w:space="0" w:color="auto"/>
                    <w:left w:val="none" w:sz="0" w:space="0" w:color="auto"/>
                    <w:bottom w:val="none" w:sz="0" w:space="0" w:color="auto"/>
                    <w:right w:val="none" w:sz="0" w:space="0" w:color="auto"/>
                  </w:divBdr>
                  <w:divsChild>
                    <w:div w:id="3753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online.sk/pravne-oblasti/spravne-pravo/analyzy-a-studie/neopravnene-zasahy-kameroveho-systemu-do-sukromia-fyzickej-osoby" TargetMode="External"/><Relationship Id="rId13" Type="http://schemas.openxmlformats.org/officeDocument/2006/relationships/hyperlink" Target="http://www.penonline.sk/pravne-oblasti/spravne-pravo/analyzy-a-studie/neopravnene-zasahy-kameroveho-systemu-do-sukromia-fyzickej-osoby" TargetMode="External"/><Relationship Id="rId18" Type="http://schemas.openxmlformats.org/officeDocument/2006/relationships/hyperlink" Target="http://www.penonline.sk/pravne-oblasti/spravne-pravo/analyzy-a-studie/neopravnene-zasahy-kameroveho-systemu-do-sukromia-fyzickej-osoby"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penonline.sk/pravne-oblasti/spravne-pravo/analyzy-a-studie/neopravnene-zasahy-kameroveho-systemu-do-sukromia-fyzickej-osoby" TargetMode="External"/><Relationship Id="rId7" Type="http://schemas.openxmlformats.org/officeDocument/2006/relationships/hyperlink" Target="http://www.penonline.sk/pravne-oblasti/spravne-pravo/analyzy-a-studie/neopravnene-zasahy-kameroveho-systemu-do-sukromia-fyzickej-osoby" TargetMode="External"/><Relationship Id="rId12" Type="http://schemas.openxmlformats.org/officeDocument/2006/relationships/hyperlink" Target="http://www.penonline.sk/pravne-oblasti/spravne-pravo/analyzy-a-studie/neopravnene-zasahy-kameroveho-systemu-do-sukromia-fyzickej-osoby" TargetMode="External"/><Relationship Id="rId17" Type="http://schemas.openxmlformats.org/officeDocument/2006/relationships/hyperlink" Target="http://www.penonline.sk/pravne-oblasti/spravne-pravo/analyzy-a-studie/neopravnene-zasahy-kameroveho-systemu-do-sukromia-fyzickej-osob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enonline.sk/pravne-oblasti/spravne-pravo/analyzy-a-studie/neopravnene-zasahy-kameroveho-systemu-do-sukromia-fyzickej-osoby" TargetMode="External"/><Relationship Id="rId20" Type="http://schemas.openxmlformats.org/officeDocument/2006/relationships/hyperlink" Target="http://www.penonline.sk/pravne-oblasti/spravne-pravo/analyzy-a-studie/neopravnene-zasahy-kameroveho-systemu-do-sukromia-fyzickej-osoby" TargetMode="External"/><Relationship Id="rId1" Type="http://schemas.openxmlformats.org/officeDocument/2006/relationships/numbering" Target="numbering.xml"/><Relationship Id="rId6" Type="http://schemas.openxmlformats.org/officeDocument/2006/relationships/hyperlink" Target="http://www.penonline.sk/autor/ondrej-zimen" TargetMode="External"/><Relationship Id="rId11" Type="http://schemas.openxmlformats.org/officeDocument/2006/relationships/hyperlink" Target="http://www.penonline.sk/pravne-oblasti/spravne-pravo/analyzy-a-studie/neopravnene-zasahy-kameroveho-systemu-do-sukromia-fyzickej-osoby" TargetMode="External"/><Relationship Id="rId24" Type="http://schemas.openxmlformats.org/officeDocument/2006/relationships/hyperlink" Target="http://www.penonline.sk/pravne-oblasti/spravne-pravo/analyzy-a-studie/neopravnene-zasahy-kameroveho-systemu-do-sukromia-fyzickej-osoby" TargetMode="External"/><Relationship Id="rId5" Type="http://schemas.openxmlformats.org/officeDocument/2006/relationships/webSettings" Target="webSettings.xml"/><Relationship Id="rId15" Type="http://schemas.openxmlformats.org/officeDocument/2006/relationships/hyperlink" Target="http://www.penonline.sk/pravne-oblasti/spravne-pravo/analyzy-a-studie/neopravnene-zasahy-kameroveho-systemu-do-sukromia-fyzickej-osoby" TargetMode="External"/><Relationship Id="rId23" Type="http://schemas.openxmlformats.org/officeDocument/2006/relationships/hyperlink" Target="http://www.penonline.sk/pravne-oblasti/spravne-pravo/analyzy-a-studie/neopravnene-zasahy-kameroveho-systemu-do-sukromia-fyzickej-osoby" TargetMode="External"/><Relationship Id="rId10" Type="http://schemas.openxmlformats.org/officeDocument/2006/relationships/hyperlink" Target="http://www.penonline.sk/pravne-oblasti/spravne-pravo/analyzy-a-studie/neopravnene-zasahy-kameroveho-systemu-do-sukromia-fyzickej-osoby" TargetMode="External"/><Relationship Id="rId19" Type="http://schemas.openxmlformats.org/officeDocument/2006/relationships/hyperlink" Target="http://www.penonline.sk/pravne-oblasti/spravne-pravo/analyzy-a-studie/neopravnene-zasahy-kameroveho-systemu-do-sukromia-fyzickej-osoby" TargetMode="External"/><Relationship Id="rId4" Type="http://schemas.openxmlformats.org/officeDocument/2006/relationships/settings" Target="settings.xml"/><Relationship Id="rId9" Type="http://schemas.openxmlformats.org/officeDocument/2006/relationships/hyperlink" Target="http://www.penonline.sk/pravne-oblasti/spravne-pravo/analyzy-a-studie/neopravnene-zasahy-kameroveho-systemu-do-sukromia-fyzickej-osoby" TargetMode="External"/><Relationship Id="rId14" Type="http://schemas.openxmlformats.org/officeDocument/2006/relationships/hyperlink" Target="http://www.penonline.sk/pravne-oblasti/spravne-pravo/analyzy-a-studie/neopravnene-zasahy-kameroveho-systemu-do-sukromia-fyzickej-osoby" TargetMode="External"/><Relationship Id="rId22" Type="http://schemas.openxmlformats.org/officeDocument/2006/relationships/hyperlink" Target="http://www.penonline.sk/pravne-oblasti/spravne-pravo/analyzy-a-studie/neopravnene-zasahy-kameroveho-systemu-do-sukromia-fyzickej-osoby"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2455</Words>
  <Characters>13996</Characters>
  <Application>Microsoft Office Word</Application>
  <DocSecurity>0</DocSecurity>
  <Lines>116</Lines>
  <Paragraphs>32</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16419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Alica</dc:creator>
  <cp:lastModifiedBy>Alica</cp:lastModifiedBy>
  <cp:revision>1</cp:revision>
  <dcterms:created xsi:type="dcterms:W3CDTF">2014-07-04T18:01:00Z</dcterms:created>
  <dcterms:modified xsi:type="dcterms:W3CDTF">2014-07-04T18:05:00Z</dcterms:modified>
</cp:coreProperties>
</file>